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FCFA" w14:textId="067CFBDD" w:rsidR="005E18B7" w:rsidRPr="00F522D1" w:rsidRDefault="00CF133E" w:rsidP="00725740">
      <w:pPr>
        <w:spacing w:after="0" w:line="240" w:lineRule="auto"/>
        <w:rPr>
          <w:rFonts w:ascii="Segoe UI" w:hAnsi="Segoe UI" w:cs="Segoe UI"/>
          <w:color w:val="414143"/>
          <w:lang w:val="fr-CA"/>
        </w:rPr>
      </w:pPr>
      <w:r>
        <w:rPr>
          <w:rStyle w:val="Heading1Char"/>
          <w:rFonts w:ascii="Segoe UI" w:hAnsi="Segoe UI" w:cs="Segoe UI"/>
          <w:sz w:val="32"/>
          <w:szCs w:val="32"/>
          <w:lang w:val="fr-CA"/>
        </w:rPr>
        <w:t>Louis Poirier</w:t>
      </w:r>
      <w:r w:rsidR="00725740" w:rsidRPr="00F522D1">
        <w:rPr>
          <w:rFonts w:ascii="Segoe UI" w:hAnsi="Segoe UI" w:cs="Segoe UI"/>
          <w:color w:val="414143"/>
          <w:lang w:val="fr-CA"/>
        </w:rPr>
        <w:t xml:space="preserve">, </w:t>
      </w:r>
      <w:r w:rsidR="00725740" w:rsidRPr="00F522D1">
        <w:rPr>
          <w:rFonts w:ascii="Segoe UI" w:hAnsi="Segoe UI" w:cs="Segoe UI"/>
          <w:color w:val="414143"/>
          <w:sz w:val="20"/>
          <w:szCs w:val="20"/>
          <w:lang w:val="fr-CA"/>
        </w:rPr>
        <w:t>BA</w:t>
      </w:r>
      <w:r w:rsidR="005717D4" w:rsidRPr="00F522D1">
        <w:rPr>
          <w:rFonts w:ascii="Segoe UI" w:hAnsi="Segoe UI" w:cs="Segoe UI"/>
          <w:color w:val="414143"/>
          <w:sz w:val="20"/>
          <w:szCs w:val="20"/>
          <w:lang w:val="fr-CA"/>
        </w:rPr>
        <w:t>A</w:t>
      </w:r>
      <w:r w:rsidR="00B35626" w:rsidRPr="00F522D1">
        <w:rPr>
          <w:rFonts w:ascii="Segoe UI" w:hAnsi="Segoe UI" w:cs="Segoe UI"/>
          <w:color w:val="414143"/>
          <w:sz w:val="20"/>
          <w:szCs w:val="20"/>
          <w:lang w:val="fr-CA"/>
        </w:rPr>
        <w:t xml:space="preserve">, </w:t>
      </w:r>
      <w:r w:rsidR="005717D4" w:rsidRPr="00F522D1">
        <w:rPr>
          <w:rFonts w:ascii="Segoe UI" w:hAnsi="Segoe UI" w:cs="Segoe UI"/>
          <w:color w:val="414143"/>
          <w:sz w:val="20"/>
          <w:szCs w:val="20"/>
          <w:lang w:val="fr-CA"/>
        </w:rPr>
        <w:t xml:space="preserve">AACI, </w:t>
      </w:r>
      <w:proofErr w:type="gramStart"/>
      <w:r w:rsidR="005717D4" w:rsidRPr="00F522D1">
        <w:rPr>
          <w:rFonts w:ascii="Segoe UI" w:hAnsi="Segoe UI" w:cs="Segoe UI"/>
          <w:color w:val="414143"/>
          <w:sz w:val="20"/>
          <w:szCs w:val="20"/>
          <w:lang w:val="fr-CA"/>
        </w:rPr>
        <w:t>P.App</w:t>
      </w:r>
      <w:proofErr w:type="gramEnd"/>
    </w:p>
    <w:p w14:paraId="2671329C" w14:textId="53D157F9" w:rsidR="00725740" w:rsidRPr="00F522D1" w:rsidRDefault="00AE60A9" w:rsidP="00725740">
      <w:pPr>
        <w:spacing w:after="0" w:line="240" w:lineRule="auto"/>
        <w:rPr>
          <w:rFonts w:ascii="Segoe UI" w:hAnsi="Segoe UI" w:cs="Segoe UI"/>
          <w:color w:val="414143"/>
          <w:lang w:val="fr-CA"/>
        </w:rPr>
      </w:pPr>
      <w:r>
        <w:rPr>
          <w:rFonts w:ascii="Segoe UI" w:hAnsi="Segoe UI" w:cs="Segoe UI"/>
          <w:color w:val="414143"/>
          <w:lang w:val="fr-CA"/>
        </w:rPr>
        <w:t>Partner</w:t>
      </w:r>
    </w:p>
    <w:p w14:paraId="778CCDCD" w14:textId="77777777" w:rsidR="00725740" w:rsidRPr="006611D1" w:rsidRDefault="00725740" w:rsidP="00725740">
      <w:pPr>
        <w:spacing w:after="0" w:line="240" w:lineRule="auto"/>
        <w:rPr>
          <w:rFonts w:ascii="Segoe UI" w:hAnsi="Segoe UI" w:cs="Segoe UI"/>
          <w:lang w:val="fr-CA"/>
        </w:rPr>
      </w:pPr>
    </w:p>
    <w:p w14:paraId="3A94F326" w14:textId="76C0BFE2" w:rsidR="00725740" w:rsidRPr="006611D1" w:rsidRDefault="00725740" w:rsidP="00725740">
      <w:pPr>
        <w:spacing w:after="0" w:line="240" w:lineRule="auto"/>
        <w:rPr>
          <w:rFonts w:ascii="Segoe UI" w:hAnsi="Segoe UI" w:cs="Segoe UI"/>
          <w:lang w:val="fr-CA"/>
        </w:rPr>
      </w:pPr>
      <w:r w:rsidRPr="006611D1">
        <w:rPr>
          <w:rFonts w:ascii="Segoe UI" w:hAnsi="Segoe UI" w:cs="Segoe UI"/>
          <w:noProof/>
          <w:lang w:val="fr-CA"/>
        </w:rPr>
        <w:drawing>
          <wp:inline distT="0" distB="0" distL="0" distR="0" wp14:anchorId="5B8E3F34" wp14:editId="6D464201">
            <wp:extent cx="2778339" cy="2222758"/>
            <wp:effectExtent l="38100" t="38100" r="60325" b="82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339" cy="222275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7898B960" w14:textId="50C5C917" w:rsidR="006611D1" w:rsidRPr="00CF133E" w:rsidRDefault="006611D1" w:rsidP="004D5E13">
      <w:pPr>
        <w:pStyle w:val="Heading1"/>
        <w:spacing w:line="360" w:lineRule="auto"/>
        <w:rPr>
          <w:rFonts w:ascii="Segoe UI" w:hAnsi="Segoe UI" w:cs="Segoe UI"/>
        </w:rPr>
      </w:pPr>
      <w:r w:rsidRPr="00CF133E">
        <w:rPr>
          <w:rFonts w:ascii="Segoe UI" w:hAnsi="Segoe UI" w:cs="Segoe UI"/>
        </w:rPr>
        <w:t>Profile</w:t>
      </w:r>
    </w:p>
    <w:p w14:paraId="11C042AD" w14:textId="4CC5D8FC" w:rsidR="00B35626" w:rsidRPr="00F522D1" w:rsidRDefault="005717D4" w:rsidP="00B35626">
      <w:pPr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Louis has</w:t>
      </w:r>
      <w:r w:rsidR="00626DAA" w:rsidRPr="00F522D1">
        <w:rPr>
          <w:rFonts w:ascii="Segoe UI" w:hAnsi="Segoe UI" w:cs="Segoe UI"/>
          <w:color w:val="414143"/>
          <w:sz w:val="20"/>
          <w:szCs w:val="20"/>
        </w:rPr>
        <w:t xml:space="preserve"> vast</w:t>
      </w:r>
      <w:r w:rsidRPr="00F522D1">
        <w:rPr>
          <w:rFonts w:ascii="Segoe UI" w:hAnsi="Segoe UI" w:cs="Segoe UI"/>
          <w:color w:val="414143"/>
          <w:sz w:val="20"/>
          <w:szCs w:val="20"/>
        </w:rPr>
        <w:t xml:space="preserve"> experience in property valuation </w:t>
      </w:r>
      <w:r w:rsidR="00C15FC0" w:rsidRPr="00F522D1">
        <w:rPr>
          <w:rFonts w:ascii="Segoe UI" w:hAnsi="Segoe UI" w:cs="Segoe UI"/>
          <w:color w:val="414143"/>
          <w:sz w:val="20"/>
          <w:szCs w:val="20"/>
        </w:rPr>
        <w:t xml:space="preserve">and assessment review services for commercial, industrial, </w:t>
      </w:r>
      <w:r w:rsidR="00DC7E32" w:rsidRPr="00F522D1">
        <w:rPr>
          <w:rFonts w:ascii="Segoe UI" w:hAnsi="Segoe UI" w:cs="Segoe UI"/>
          <w:color w:val="414143"/>
          <w:sz w:val="20"/>
          <w:szCs w:val="20"/>
        </w:rPr>
        <w:t>retail,</w:t>
      </w:r>
      <w:r w:rsidR="00C15FC0" w:rsidRPr="00F522D1">
        <w:rPr>
          <w:rFonts w:ascii="Segoe UI" w:hAnsi="Segoe UI" w:cs="Segoe UI"/>
          <w:color w:val="414143"/>
          <w:sz w:val="20"/>
          <w:szCs w:val="20"/>
        </w:rPr>
        <w:t xml:space="preserve"> and multi-residential properties. He has acted as expert witness in arbitration</w:t>
      </w:r>
      <w:r w:rsidR="009B51AB" w:rsidRPr="00F522D1">
        <w:rPr>
          <w:rFonts w:ascii="Segoe UI" w:hAnsi="Segoe UI" w:cs="Segoe UI"/>
          <w:color w:val="414143"/>
          <w:sz w:val="20"/>
          <w:szCs w:val="20"/>
        </w:rPr>
        <w:t xml:space="preserve">, property tax assessment, </w:t>
      </w:r>
      <w:r w:rsidR="00921FB6" w:rsidRPr="00F522D1">
        <w:rPr>
          <w:rFonts w:ascii="Segoe UI" w:hAnsi="Segoe UI" w:cs="Segoe UI"/>
          <w:color w:val="414143"/>
          <w:sz w:val="20"/>
          <w:szCs w:val="20"/>
        </w:rPr>
        <w:t>expropriation,</w:t>
      </w:r>
      <w:r w:rsidR="009B51AB" w:rsidRPr="00F522D1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8C20E4" w:rsidRPr="00F522D1">
        <w:rPr>
          <w:rFonts w:ascii="Segoe UI" w:hAnsi="Segoe UI" w:cs="Segoe UI"/>
          <w:color w:val="414143"/>
          <w:sz w:val="20"/>
          <w:szCs w:val="20"/>
        </w:rPr>
        <w:t>and civil litigation cases, as well as other specialized real estate tribu</w:t>
      </w:r>
      <w:r w:rsidR="00626DAA" w:rsidRPr="00F522D1">
        <w:rPr>
          <w:rFonts w:ascii="Segoe UI" w:hAnsi="Segoe UI" w:cs="Segoe UI"/>
          <w:color w:val="414143"/>
          <w:sz w:val="20"/>
          <w:szCs w:val="20"/>
        </w:rPr>
        <w:t>nal matter</w:t>
      </w:r>
      <w:r w:rsidR="00B94DE6" w:rsidRPr="00F522D1">
        <w:rPr>
          <w:rFonts w:ascii="Segoe UI" w:hAnsi="Segoe UI" w:cs="Segoe UI"/>
          <w:color w:val="414143"/>
          <w:sz w:val="20"/>
          <w:szCs w:val="20"/>
        </w:rPr>
        <w:t>s</w:t>
      </w:r>
      <w:r w:rsidR="00626DAA" w:rsidRPr="00F522D1">
        <w:rPr>
          <w:rFonts w:ascii="Segoe UI" w:hAnsi="Segoe UI" w:cs="Segoe UI"/>
          <w:color w:val="414143"/>
          <w:sz w:val="20"/>
          <w:szCs w:val="20"/>
        </w:rPr>
        <w:t>. Louis has worked extensively</w:t>
      </w:r>
      <w:r w:rsidR="00921FB6" w:rsidRPr="00F522D1">
        <w:rPr>
          <w:rFonts w:ascii="Segoe UI" w:hAnsi="Segoe UI" w:cs="Segoe UI"/>
          <w:color w:val="414143"/>
          <w:sz w:val="20"/>
          <w:szCs w:val="20"/>
        </w:rPr>
        <w:t xml:space="preserve"> in Montréal, Calgary and Atlantic Canada and has provided valuation and consulting services in all the Canadian provinces. </w:t>
      </w:r>
    </w:p>
    <w:p w14:paraId="769D6133" w14:textId="64768432" w:rsidR="004D5E13" w:rsidRDefault="00B733DE" w:rsidP="004D5E13">
      <w:pPr>
        <w:pStyle w:val="Heading1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Accreditation and Memberships</w:t>
      </w:r>
    </w:p>
    <w:p w14:paraId="76BDB9C2" w14:textId="3455E48A" w:rsidR="00E964E2" w:rsidRPr="00F522D1" w:rsidRDefault="00B733DE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 xml:space="preserve">Accredited Appraiser Canadian Institute (AACI) </w:t>
      </w:r>
      <w:r w:rsidR="0062335B" w:rsidRPr="00F522D1">
        <w:rPr>
          <w:rFonts w:ascii="Segoe UI" w:hAnsi="Segoe UI" w:cs="Segoe UI"/>
          <w:color w:val="414143"/>
          <w:sz w:val="18"/>
          <w:szCs w:val="18"/>
        </w:rPr>
        <w:t xml:space="preserve">- </w:t>
      </w:r>
      <w:r w:rsidRPr="00F522D1">
        <w:rPr>
          <w:rFonts w:ascii="Segoe UI" w:hAnsi="Segoe UI" w:cs="Segoe UI"/>
          <w:color w:val="414143"/>
          <w:sz w:val="18"/>
          <w:szCs w:val="18"/>
        </w:rPr>
        <w:t>2005</w:t>
      </w:r>
    </w:p>
    <w:p w14:paraId="62236A30" w14:textId="24A9F261" w:rsidR="00E964E2" w:rsidRPr="00F522D1" w:rsidRDefault="00E964E2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>Member A</w:t>
      </w:r>
      <w:r w:rsidR="0082129F" w:rsidRPr="00F522D1">
        <w:rPr>
          <w:rFonts w:ascii="Segoe UI" w:hAnsi="Segoe UI" w:cs="Segoe UI"/>
          <w:color w:val="414143"/>
          <w:sz w:val="18"/>
          <w:szCs w:val="18"/>
        </w:rPr>
        <w:t>ppraisal Institute of Canada (AIC)</w:t>
      </w:r>
    </w:p>
    <w:p w14:paraId="503E92EF" w14:textId="3790DDAB" w:rsidR="0082129F" w:rsidRPr="00F522D1" w:rsidRDefault="003504D6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>
        <w:rPr>
          <w:rFonts w:ascii="Segoe UI" w:hAnsi="Segoe UI" w:cs="Segoe UI"/>
          <w:color w:val="414143"/>
          <w:sz w:val="18"/>
          <w:szCs w:val="18"/>
        </w:rPr>
        <w:t>Past</w:t>
      </w:r>
      <w:r w:rsidR="00640934" w:rsidRPr="00F522D1">
        <w:rPr>
          <w:rFonts w:ascii="Segoe UI" w:hAnsi="Segoe UI" w:cs="Segoe UI"/>
          <w:color w:val="414143"/>
          <w:sz w:val="18"/>
          <w:szCs w:val="18"/>
        </w:rPr>
        <w:t xml:space="preserve"> </w:t>
      </w:r>
      <w:r w:rsidR="00CE0B9E" w:rsidRPr="00F522D1">
        <w:rPr>
          <w:rFonts w:ascii="Segoe UI" w:hAnsi="Segoe UI" w:cs="Segoe UI"/>
          <w:color w:val="414143"/>
          <w:sz w:val="18"/>
          <w:szCs w:val="18"/>
        </w:rPr>
        <w:t>National Board of Directors representative for the province</w:t>
      </w:r>
      <w:r>
        <w:rPr>
          <w:rFonts w:ascii="Segoe UI" w:hAnsi="Segoe UI" w:cs="Segoe UI"/>
          <w:color w:val="414143"/>
          <w:sz w:val="18"/>
          <w:szCs w:val="18"/>
        </w:rPr>
        <w:t>s</w:t>
      </w:r>
      <w:r w:rsidR="00CE0B9E" w:rsidRPr="00F522D1">
        <w:rPr>
          <w:rFonts w:ascii="Segoe UI" w:hAnsi="Segoe UI" w:cs="Segoe UI"/>
          <w:color w:val="414143"/>
          <w:sz w:val="18"/>
          <w:szCs w:val="18"/>
        </w:rPr>
        <w:t xml:space="preserve"> of New Brunswick</w:t>
      </w:r>
      <w:r>
        <w:rPr>
          <w:rFonts w:ascii="Segoe UI" w:hAnsi="Segoe UI" w:cs="Segoe UI"/>
          <w:color w:val="414143"/>
          <w:sz w:val="18"/>
          <w:szCs w:val="18"/>
        </w:rPr>
        <w:t xml:space="preserve"> and </w:t>
      </w:r>
      <w:r w:rsidR="00464D9A">
        <w:rPr>
          <w:rFonts w:ascii="Segoe UI" w:hAnsi="Segoe UI" w:cs="Segoe UI"/>
          <w:color w:val="414143"/>
          <w:sz w:val="18"/>
          <w:szCs w:val="18"/>
        </w:rPr>
        <w:t>Québec</w:t>
      </w:r>
    </w:p>
    <w:p w14:paraId="79E4CDE9" w14:textId="7ACDD9E0" w:rsidR="00F12E18" w:rsidRPr="00F522D1" w:rsidRDefault="00464D9A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>
        <w:rPr>
          <w:rFonts w:ascii="Segoe UI" w:hAnsi="Segoe UI" w:cs="Segoe UI"/>
          <w:color w:val="414143"/>
          <w:sz w:val="18"/>
          <w:szCs w:val="18"/>
        </w:rPr>
        <w:t xml:space="preserve">Past </w:t>
      </w:r>
      <w:r w:rsidR="002162DB" w:rsidRPr="00F522D1">
        <w:rPr>
          <w:rFonts w:ascii="Segoe UI" w:hAnsi="Segoe UI" w:cs="Segoe UI"/>
          <w:color w:val="414143"/>
          <w:sz w:val="18"/>
          <w:szCs w:val="18"/>
        </w:rPr>
        <w:t xml:space="preserve">President of the New Brunswick </w:t>
      </w:r>
      <w:r w:rsidR="00F703A5" w:rsidRPr="00F522D1">
        <w:rPr>
          <w:rFonts w:ascii="Segoe UI" w:hAnsi="Segoe UI" w:cs="Segoe UI"/>
          <w:color w:val="414143"/>
          <w:sz w:val="18"/>
          <w:szCs w:val="18"/>
        </w:rPr>
        <w:t>Association of Real Estate Appraisers</w:t>
      </w:r>
      <w:r w:rsidR="005B34ED" w:rsidRPr="00F522D1">
        <w:rPr>
          <w:rFonts w:ascii="Segoe UI" w:hAnsi="Segoe UI" w:cs="Segoe UI"/>
          <w:color w:val="414143"/>
          <w:sz w:val="18"/>
          <w:szCs w:val="18"/>
        </w:rPr>
        <w:t xml:space="preserve"> (NBAREA)</w:t>
      </w:r>
      <w:r>
        <w:rPr>
          <w:rFonts w:ascii="Segoe UI" w:hAnsi="Segoe UI" w:cs="Segoe UI"/>
          <w:color w:val="414143"/>
          <w:sz w:val="18"/>
          <w:szCs w:val="18"/>
        </w:rPr>
        <w:t xml:space="preserve"> as well as the </w:t>
      </w:r>
      <w:r w:rsidR="00AB4A71">
        <w:rPr>
          <w:rFonts w:ascii="Segoe UI" w:hAnsi="Segoe UI" w:cs="Segoe UI"/>
          <w:color w:val="414143"/>
          <w:sz w:val="18"/>
          <w:szCs w:val="18"/>
        </w:rPr>
        <w:t>Qu</w:t>
      </w:r>
      <w:proofErr w:type="spellStart"/>
      <w:r w:rsidR="00AB4A71">
        <w:rPr>
          <w:rFonts w:ascii="Segoe UI" w:hAnsi="Segoe UI" w:cs="Segoe UI"/>
          <w:color w:val="414143"/>
          <w:sz w:val="18"/>
          <w:szCs w:val="18"/>
          <w:lang w:val="en-US"/>
        </w:rPr>
        <w:t>ébec</w:t>
      </w:r>
      <w:proofErr w:type="spellEnd"/>
      <w:r w:rsidR="001E2C43">
        <w:rPr>
          <w:rFonts w:ascii="Segoe UI" w:hAnsi="Segoe UI" w:cs="Segoe UI"/>
          <w:color w:val="414143"/>
          <w:sz w:val="18"/>
          <w:szCs w:val="18"/>
          <w:lang w:val="en-US"/>
        </w:rPr>
        <w:t xml:space="preserve"> </w:t>
      </w:r>
      <w:r w:rsidR="00AB4A71">
        <w:rPr>
          <w:rFonts w:ascii="Segoe UI" w:hAnsi="Segoe UI" w:cs="Segoe UI"/>
          <w:color w:val="414143"/>
          <w:sz w:val="18"/>
          <w:szCs w:val="18"/>
          <w:lang w:val="en-US"/>
        </w:rPr>
        <w:t>Provincial Association (AQICE)</w:t>
      </w:r>
    </w:p>
    <w:p w14:paraId="6C9AC263" w14:textId="72122A47" w:rsidR="005B34ED" w:rsidRPr="00F522D1" w:rsidRDefault="005B34ED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>Past Chairman of the AIC’s Standards Sub-Committee</w:t>
      </w:r>
    </w:p>
    <w:p w14:paraId="6E24A74C" w14:textId="70B58958" w:rsidR="00B54559" w:rsidRPr="00F522D1" w:rsidRDefault="00AB4A71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>
        <w:rPr>
          <w:rFonts w:ascii="Segoe UI" w:hAnsi="Segoe UI" w:cs="Segoe UI"/>
          <w:color w:val="414143"/>
          <w:sz w:val="18"/>
          <w:szCs w:val="18"/>
        </w:rPr>
        <w:t xml:space="preserve">Past </w:t>
      </w:r>
      <w:r w:rsidR="00B54559" w:rsidRPr="00F522D1">
        <w:rPr>
          <w:rFonts w:ascii="Segoe UI" w:hAnsi="Segoe UI" w:cs="Segoe UI"/>
          <w:color w:val="414143"/>
          <w:sz w:val="18"/>
          <w:szCs w:val="18"/>
        </w:rPr>
        <w:t>Counsellor Professional Practice – AIC</w:t>
      </w:r>
    </w:p>
    <w:p w14:paraId="54D61ACD" w14:textId="23B5EF2E" w:rsidR="00B54559" w:rsidRPr="00F522D1" w:rsidRDefault="00B54559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>Instructor of the AIC Professional Practice Seminar</w:t>
      </w:r>
    </w:p>
    <w:p w14:paraId="73EFDF8C" w14:textId="23E1F73E" w:rsidR="00B54559" w:rsidRPr="00F522D1" w:rsidRDefault="00B54559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>Past Peer Reviewer &amp; Special Reviewer</w:t>
      </w:r>
      <w:r w:rsidR="004A07F0" w:rsidRPr="00F522D1">
        <w:rPr>
          <w:rFonts w:ascii="Segoe UI" w:hAnsi="Segoe UI" w:cs="Segoe UI"/>
          <w:color w:val="414143"/>
          <w:sz w:val="18"/>
          <w:szCs w:val="18"/>
        </w:rPr>
        <w:t xml:space="preserve"> for Professional Practice matters</w:t>
      </w:r>
    </w:p>
    <w:p w14:paraId="7E9545E4" w14:textId="76B2F3A7" w:rsidR="004A07F0" w:rsidRPr="00F522D1" w:rsidRDefault="004A07F0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>Past Chairman of the National Communications Committee – 2006/2007</w:t>
      </w:r>
    </w:p>
    <w:p w14:paraId="08D2E350" w14:textId="301D1438" w:rsidR="0062335B" w:rsidRPr="00F522D1" w:rsidRDefault="0062335B" w:rsidP="00575E2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414143"/>
          <w:sz w:val="18"/>
          <w:szCs w:val="18"/>
        </w:rPr>
      </w:pPr>
      <w:r w:rsidRPr="00F522D1">
        <w:rPr>
          <w:rFonts w:ascii="Segoe UI" w:hAnsi="Segoe UI" w:cs="Segoe UI"/>
          <w:color w:val="414143"/>
          <w:sz w:val="18"/>
          <w:szCs w:val="18"/>
        </w:rPr>
        <w:t>Current member of the Canadian Property Tax Association</w:t>
      </w:r>
    </w:p>
    <w:p w14:paraId="5202BEB1" w14:textId="77777777" w:rsidR="004D5E13" w:rsidRDefault="004D5E13" w:rsidP="004D5E13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0A5984D" w14:textId="264399E6" w:rsidR="00DF141E" w:rsidRDefault="00DF141E" w:rsidP="00DF141E">
      <w:pPr>
        <w:pStyle w:val="Heading1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Career</w:t>
      </w:r>
    </w:p>
    <w:p w14:paraId="41420F60" w14:textId="7166D616" w:rsidR="000E75CF" w:rsidRPr="00F522D1" w:rsidRDefault="000E75CF" w:rsidP="007C789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 xml:space="preserve">Partner, </w:t>
      </w:r>
      <w:r w:rsidR="007F0F4A" w:rsidRPr="00F522D1">
        <w:rPr>
          <w:rFonts w:ascii="Segoe UI" w:hAnsi="Segoe UI" w:cs="Segoe UI"/>
          <w:color w:val="414143"/>
          <w:sz w:val="20"/>
          <w:szCs w:val="20"/>
        </w:rPr>
        <w:t>Poirier &amp; Paquet</w:t>
      </w:r>
      <w:r w:rsidR="001962A3" w:rsidRPr="00F522D1">
        <w:rPr>
          <w:rFonts w:ascii="Segoe UI" w:hAnsi="Segoe UI" w:cs="Segoe UI"/>
          <w:color w:val="414143"/>
          <w:sz w:val="20"/>
          <w:szCs w:val="20"/>
        </w:rPr>
        <w:t xml:space="preserve"> Valuation Advisory Services specialized in complex </w:t>
      </w:r>
      <w:r w:rsidRPr="00F522D1">
        <w:rPr>
          <w:rFonts w:ascii="Segoe UI" w:hAnsi="Segoe UI" w:cs="Segoe UI"/>
          <w:color w:val="414143"/>
          <w:sz w:val="20"/>
          <w:szCs w:val="20"/>
        </w:rPr>
        <w:t>property valuation</w:t>
      </w:r>
      <w:r w:rsidR="00C74B93" w:rsidRPr="00F522D1">
        <w:rPr>
          <w:rFonts w:ascii="Segoe UI" w:hAnsi="Segoe UI" w:cs="Segoe UI"/>
          <w:color w:val="414143"/>
          <w:sz w:val="20"/>
          <w:szCs w:val="20"/>
        </w:rPr>
        <w:t>, property</w:t>
      </w:r>
      <w:r w:rsidR="007F0F4A" w:rsidRPr="00F522D1">
        <w:rPr>
          <w:rFonts w:ascii="Segoe UI" w:hAnsi="Segoe UI" w:cs="Segoe UI"/>
          <w:color w:val="414143"/>
          <w:sz w:val="20"/>
          <w:szCs w:val="20"/>
        </w:rPr>
        <w:t xml:space="preserve"> tax assessment review, litigation support</w:t>
      </w:r>
      <w:r w:rsidRPr="00F522D1">
        <w:rPr>
          <w:rFonts w:ascii="Segoe UI" w:hAnsi="Segoe UI" w:cs="Segoe UI"/>
          <w:color w:val="414143"/>
          <w:sz w:val="20"/>
          <w:szCs w:val="20"/>
        </w:rPr>
        <w:t xml:space="preserve"> and consulting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>, Moncton, New Brunswick.</w:t>
      </w:r>
    </w:p>
    <w:p w14:paraId="51C0CBEC" w14:textId="77777777" w:rsidR="004C45B8" w:rsidRPr="00F522D1" w:rsidRDefault="004C45B8" w:rsidP="007C7893">
      <w:pPr>
        <w:pStyle w:val="ListParagraph"/>
        <w:spacing w:after="0" w:line="240" w:lineRule="auto"/>
        <w:ind w:left="360"/>
        <w:jc w:val="both"/>
        <w:rPr>
          <w:rFonts w:ascii="Segoe UI" w:hAnsi="Segoe UI" w:cs="Segoe UI"/>
          <w:color w:val="414143"/>
          <w:sz w:val="20"/>
          <w:szCs w:val="20"/>
        </w:rPr>
      </w:pPr>
    </w:p>
    <w:p w14:paraId="1B61AB11" w14:textId="34CF329C" w:rsidR="00990475" w:rsidRPr="00F522D1" w:rsidRDefault="00990475" w:rsidP="007C789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VP Moncton</w:t>
      </w:r>
      <w:r w:rsidR="006E0524" w:rsidRPr="00F522D1">
        <w:rPr>
          <w:rFonts w:ascii="Segoe UI" w:hAnsi="Segoe UI" w:cs="Segoe UI"/>
          <w:color w:val="414143"/>
          <w:sz w:val="20"/>
          <w:szCs w:val="20"/>
        </w:rPr>
        <w:t>, Turner Drake &amp; Partners Ltd., Halifax, Nova Scotia.</w:t>
      </w:r>
    </w:p>
    <w:p w14:paraId="1004E315" w14:textId="77777777" w:rsidR="000E75CF" w:rsidRPr="00F522D1" w:rsidRDefault="000E75CF" w:rsidP="007C7893">
      <w:pPr>
        <w:spacing w:after="0" w:line="240" w:lineRule="auto"/>
        <w:jc w:val="both"/>
        <w:rPr>
          <w:rFonts w:ascii="Segoe UI" w:hAnsi="Segoe UI" w:cs="Segoe UI"/>
          <w:color w:val="414143"/>
          <w:sz w:val="20"/>
          <w:szCs w:val="20"/>
        </w:rPr>
      </w:pPr>
    </w:p>
    <w:p w14:paraId="7E194E37" w14:textId="056C5178" w:rsidR="000E75CF" w:rsidRPr="00F522D1" w:rsidRDefault="00414B94" w:rsidP="007C789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Director, Property Tax Services</w:t>
      </w:r>
      <w:r w:rsidR="0068557B" w:rsidRPr="00F522D1">
        <w:rPr>
          <w:rFonts w:ascii="Segoe UI" w:hAnsi="Segoe UI" w:cs="Segoe UI"/>
          <w:color w:val="414143"/>
          <w:sz w:val="20"/>
          <w:szCs w:val="20"/>
        </w:rPr>
        <w:t xml:space="preserve"> at CBRE and Ryan</w:t>
      </w:r>
      <w:r w:rsidR="004C1800" w:rsidRPr="00F522D1">
        <w:rPr>
          <w:rFonts w:ascii="Segoe UI" w:hAnsi="Segoe UI" w:cs="Segoe UI"/>
          <w:color w:val="414143"/>
          <w:sz w:val="20"/>
          <w:szCs w:val="20"/>
        </w:rPr>
        <w:t>, Montréal</w:t>
      </w:r>
      <w:r w:rsidR="006E0524" w:rsidRPr="00F522D1">
        <w:rPr>
          <w:rFonts w:ascii="Segoe UI" w:hAnsi="Segoe UI" w:cs="Segoe UI"/>
          <w:color w:val="414143"/>
          <w:sz w:val="20"/>
          <w:szCs w:val="20"/>
        </w:rPr>
        <w:t>, Québec.</w:t>
      </w:r>
    </w:p>
    <w:p w14:paraId="37C407F4" w14:textId="77777777" w:rsidR="000E75CF" w:rsidRPr="00F522D1" w:rsidRDefault="000E75CF" w:rsidP="007C7893">
      <w:pPr>
        <w:spacing w:after="0" w:line="240" w:lineRule="auto"/>
        <w:jc w:val="both"/>
        <w:rPr>
          <w:rFonts w:ascii="Segoe UI" w:hAnsi="Segoe UI" w:cs="Segoe UI"/>
          <w:color w:val="414143"/>
          <w:sz w:val="20"/>
          <w:szCs w:val="20"/>
        </w:rPr>
      </w:pPr>
    </w:p>
    <w:p w14:paraId="025D2E97" w14:textId="247EB63F" w:rsidR="00DF141E" w:rsidRPr="00F522D1" w:rsidRDefault="004C1800" w:rsidP="007C789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Managing Director and Principal</w:t>
      </w:r>
      <w:r w:rsidR="005B7A68" w:rsidRPr="00F522D1">
        <w:rPr>
          <w:rFonts w:ascii="Segoe UI" w:hAnsi="Segoe UI" w:cs="Segoe UI"/>
          <w:color w:val="414143"/>
          <w:sz w:val="20"/>
          <w:szCs w:val="20"/>
        </w:rPr>
        <w:t xml:space="preserve"> AEC SYMMAF</w:t>
      </w:r>
      <w:r w:rsidR="007043D5" w:rsidRPr="00F522D1">
        <w:rPr>
          <w:rFonts w:ascii="Segoe UI" w:hAnsi="Segoe UI" w:cs="Segoe UI"/>
          <w:color w:val="414143"/>
          <w:sz w:val="20"/>
          <w:szCs w:val="20"/>
        </w:rPr>
        <w:t>, Montréal</w:t>
      </w:r>
      <w:r w:rsidR="006E0524" w:rsidRPr="00F522D1">
        <w:rPr>
          <w:rFonts w:ascii="Segoe UI" w:hAnsi="Segoe UI" w:cs="Segoe UI"/>
          <w:color w:val="414143"/>
          <w:sz w:val="20"/>
          <w:szCs w:val="20"/>
        </w:rPr>
        <w:t>, Québec.</w:t>
      </w:r>
    </w:p>
    <w:p w14:paraId="271F27AC" w14:textId="1F2CA365" w:rsidR="00DF141E" w:rsidRDefault="000B2F0D" w:rsidP="00DF141E">
      <w:pPr>
        <w:pStyle w:val="Heading1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Specific Exper</w:t>
      </w:r>
      <w:r w:rsidR="00E7189B">
        <w:rPr>
          <w:rFonts w:ascii="Segoe UI" w:hAnsi="Segoe UI" w:cs="Segoe UI"/>
        </w:rPr>
        <w:t>tise</w:t>
      </w:r>
    </w:p>
    <w:p w14:paraId="3B9D37DE" w14:textId="5BED2203" w:rsidR="00725740" w:rsidRPr="00566E61" w:rsidRDefault="00D5181A" w:rsidP="00756E50">
      <w:pPr>
        <w:rPr>
          <w:rFonts w:ascii="Segoe UI" w:hAnsi="Segoe UI" w:cs="Segoe UI"/>
          <w:color w:val="414143"/>
          <w:sz w:val="20"/>
          <w:szCs w:val="20"/>
        </w:rPr>
      </w:pPr>
      <w:r w:rsidRPr="00566E61">
        <w:rPr>
          <w:rFonts w:ascii="Segoe UI" w:hAnsi="Segoe UI" w:cs="Segoe UI"/>
          <w:color w:val="414143"/>
          <w:sz w:val="20"/>
          <w:szCs w:val="20"/>
        </w:rPr>
        <w:t>Valuation</w:t>
      </w:r>
      <w:r w:rsidR="00C75056">
        <w:rPr>
          <w:rFonts w:ascii="Segoe UI" w:hAnsi="Segoe UI" w:cs="Segoe UI"/>
          <w:color w:val="414143"/>
          <w:sz w:val="20"/>
          <w:szCs w:val="20"/>
        </w:rPr>
        <w:t xml:space="preserve">, </w:t>
      </w:r>
      <w:r w:rsidR="003211D7">
        <w:rPr>
          <w:rFonts w:ascii="Segoe UI" w:hAnsi="Segoe UI" w:cs="Segoe UI"/>
          <w:color w:val="414143"/>
          <w:sz w:val="20"/>
          <w:szCs w:val="20"/>
        </w:rPr>
        <w:t>c</w:t>
      </w:r>
      <w:r w:rsidR="003211D7" w:rsidRPr="00566E61">
        <w:rPr>
          <w:rFonts w:ascii="Segoe UI" w:hAnsi="Segoe UI" w:cs="Segoe UI"/>
          <w:color w:val="414143"/>
          <w:sz w:val="20"/>
          <w:szCs w:val="20"/>
        </w:rPr>
        <w:t>onsult</w:t>
      </w:r>
      <w:r w:rsidR="003211D7">
        <w:rPr>
          <w:rFonts w:ascii="Segoe UI" w:hAnsi="Segoe UI" w:cs="Segoe UI"/>
          <w:color w:val="414143"/>
          <w:sz w:val="20"/>
          <w:szCs w:val="20"/>
        </w:rPr>
        <w:t>ation,</w:t>
      </w:r>
      <w:r w:rsidR="00C75056">
        <w:rPr>
          <w:rFonts w:ascii="Segoe UI" w:hAnsi="Segoe UI" w:cs="Segoe UI"/>
          <w:color w:val="414143"/>
          <w:sz w:val="20"/>
          <w:szCs w:val="20"/>
        </w:rPr>
        <w:t xml:space="preserve"> and expert</w:t>
      </w:r>
      <w:r w:rsidR="000806AB" w:rsidRPr="00566E61">
        <w:rPr>
          <w:rFonts w:ascii="Segoe UI" w:hAnsi="Segoe UI" w:cs="Segoe UI"/>
          <w:color w:val="414143"/>
          <w:sz w:val="20"/>
          <w:szCs w:val="20"/>
        </w:rPr>
        <w:t xml:space="preserve"> services for:</w:t>
      </w:r>
    </w:p>
    <w:p w14:paraId="5AD2B116" w14:textId="6E1CC5BE" w:rsidR="00C5442C" w:rsidRPr="00F522D1" w:rsidRDefault="002655F4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Market value</w:t>
      </w:r>
      <w:r w:rsidR="007060AA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E8629B">
        <w:rPr>
          <w:rFonts w:ascii="Segoe UI" w:hAnsi="Segoe UI" w:cs="Segoe UI"/>
          <w:color w:val="414143"/>
          <w:sz w:val="20"/>
          <w:szCs w:val="20"/>
        </w:rPr>
        <w:t xml:space="preserve">of </w:t>
      </w:r>
      <w:r w:rsidR="007060AA" w:rsidRPr="00F522D1">
        <w:rPr>
          <w:rFonts w:ascii="Segoe UI" w:hAnsi="Segoe UI" w:cs="Segoe UI"/>
          <w:color w:val="414143"/>
          <w:sz w:val="20"/>
          <w:szCs w:val="20"/>
        </w:rPr>
        <w:t>vacant land</w:t>
      </w:r>
      <w:r w:rsidR="00E8629B">
        <w:rPr>
          <w:rFonts w:ascii="Segoe UI" w:hAnsi="Segoe UI" w:cs="Segoe UI"/>
          <w:color w:val="414143"/>
          <w:sz w:val="20"/>
          <w:szCs w:val="20"/>
        </w:rPr>
        <w:t xml:space="preserve"> for numerous </w:t>
      </w:r>
      <w:r w:rsidR="00EB73B6">
        <w:rPr>
          <w:rFonts w:ascii="Segoe UI" w:hAnsi="Segoe UI" w:cs="Segoe UI"/>
          <w:color w:val="414143"/>
          <w:sz w:val="20"/>
          <w:szCs w:val="20"/>
        </w:rPr>
        <w:t>purposes</w:t>
      </w:r>
      <w:r w:rsidR="00544D91">
        <w:rPr>
          <w:rFonts w:ascii="Segoe UI" w:hAnsi="Segoe UI" w:cs="Segoe UI"/>
          <w:color w:val="414143"/>
          <w:sz w:val="20"/>
          <w:szCs w:val="20"/>
        </w:rPr>
        <w:t>,</w:t>
      </w:r>
      <w:r w:rsidR="00EB73B6">
        <w:rPr>
          <w:rFonts w:ascii="Segoe UI" w:hAnsi="Segoe UI" w:cs="Segoe UI"/>
          <w:color w:val="414143"/>
          <w:sz w:val="20"/>
          <w:szCs w:val="20"/>
        </w:rPr>
        <w:t xml:space="preserve"> valuation</w:t>
      </w:r>
      <w:r w:rsidR="008209CB" w:rsidRPr="00F522D1">
        <w:rPr>
          <w:rFonts w:ascii="Segoe UI" w:hAnsi="Segoe UI" w:cs="Segoe UI"/>
          <w:color w:val="414143"/>
          <w:sz w:val="20"/>
          <w:szCs w:val="20"/>
        </w:rPr>
        <w:t xml:space="preserve"> of</w:t>
      </w:r>
      <w:r w:rsidR="00774CE7" w:rsidRPr="00F522D1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ED4A3D" w:rsidRPr="00F522D1">
        <w:rPr>
          <w:rFonts w:ascii="Segoe UI" w:hAnsi="Segoe UI" w:cs="Segoe UI"/>
          <w:color w:val="414143"/>
          <w:sz w:val="20"/>
          <w:szCs w:val="20"/>
        </w:rPr>
        <w:t>multi-residential</w:t>
      </w:r>
      <w:r w:rsidR="00544D91">
        <w:rPr>
          <w:rFonts w:ascii="Segoe UI" w:hAnsi="Segoe UI" w:cs="Segoe UI"/>
          <w:color w:val="414143"/>
          <w:sz w:val="20"/>
          <w:szCs w:val="20"/>
        </w:rPr>
        <w:t xml:space="preserve"> properties</w:t>
      </w:r>
      <w:r w:rsidR="00ED4A3D" w:rsidRPr="00F522D1">
        <w:rPr>
          <w:rFonts w:ascii="Segoe UI" w:hAnsi="Segoe UI" w:cs="Segoe UI"/>
          <w:color w:val="414143"/>
          <w:sz w:val="20"/>
          <w:szCs w:val="20"/>
        </w:rPr>
        <w:t xml:space="preserve">, </w:t>
      </w:r>
      <w:r w:rsidR="00774CE7" w:rsidRPr="00F522D1">
        <w:rPr>
          <w:rFonts w:ascii="Segoe UI" w:hAnsi="Segoe UI" w:cs="Segoe UI"/>
          <w:color w:val="414143"/>
          <w:sz w:val="20"/>
          <w:szCs w:val="20"/>
        </w:rPr>
        <w:t xml:space="preserve">retail and office buildings, </w:t>
      </w:r>
      <w:r w:rsidR="00133FF1" w:rsidRPr="00F522D1">
        <w:rPr>
          <w:rFonts w:ascii="Segoe UI" w:hAnsi="Segoe UI" w:cs="Segoe UI"/>
          <w:color w:val="414143"/>
          <w:sz w:val="20"/>
          <w:szCs w:val="20"/>
        </w:rPr>
        <w:t xml:space="preserve">light and large-scale industrial properties, </w:t>
      </w:r>
      <w:r w:rsidR="00881BCA" w:rsidRPr="00F522D1">
        <w:rPr>
          <w:rFonts w:ascii="Segoe UI" w:hAnsi="Segoe UI" w:cs="Segoe UI"/>
          <w:color w:val="414143"/>
          <w:sz w:val="20"/>
          <w:szCs w:val="20"/>
        </w:rPr>
        <w:t xml:space="preserve">institutional </w:t>
      </w:r>
      <w:r w:rsidR="0032215F" w:rsidRPr="00F522D1">
        <w:rPr>
          <w:rFonts w:ascii="Segoe UI" w:hAnsi="Segoe UI" w:cs="Segoe UI"/>
          <w:color w:val="414143"/>
          <w:sz w:val="20"/>
          <w:szCs w:val="20"/>
        </w:rPr>
        <w:t xml:space="preserve">and </w:t>
      </w:r>
      <w:r w:rsidR="00E63E52" w:rsidRPr="00F522D1">
        <w:rPr>
          <w:rFonts w:ascii="Segoe UI" w:hAnsi="Segoe UI" w:cs="Segoe UI"/>
          <w:color w:val="414143"/>
          <w:sz w:val="20"/>
          <w:szCs w:val="20"/>
        </w:rPr>
        <w:t>stand-alone retail properties, power centre</w:t>
      </w:r>
      <w:r w:rsidR="00647A97" w:rsidRPr="00F522D1">
        <w:rPr>
          <w:rFonts w:ascii="Segoe UI" w:hAnsi="Segoe UI" w:cs="Segoe UI"/>
          <w:color w:val="414143"/>
          <w:sz w:val="20"/>
          <w:szCs w:val="20"/>
        </w:rPr>
        <w:t>s and shopping malls</w:t>
      </w:r>
      <w:r w:rsidR="00E8629B">
        <w:rPr>
          <w:rFonts w:ascii="Segoe UI" w:hAnsi="Segoe UI" w:cs="Segoe UI"/>
          <w:color w:val="414143"/>
          <w:sz w:val="20"/>
          <w:szCs w:val="20"/>
        </w:rPr>
        <w:t>.</w:t>
      </w:r>
      <w:r w:rsidR="00FD5910" w:rsidRPr="00F522D1">
        <w:rPr>
          <w:rFonts w:ascii="Segoe UI" w:hAnsi="Segoe UI" w:cs="Segoe UI"/>
          <w:color w:val="414143"/>
          <w:sz w:val="20"/>
          <w:szCs w:val="20"/>
        </w:rPr>
        <w:t xml:space="preserve"> </w:t>
      </w:r>
    </w:p>
    <w:p w14:paraId="35A48A69" w14:textId="2C224E94" w:rsidR="00C5442C" w:rsidRPr="00F522D1" w:rsidRDefault="00DB3234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Multi-year analysis of</w:t>
      </w:r>
      <w:r w:rsidR="00FD5910" w:rsidRPr="00F522D1">
        <w:rPr>
          <w:rFonts w:ascii="Segoe UI" w:hAnsi="Segoe UI" w:cs="Segoe UI"/>
          <w:color w:val="414143"/>
          <w:sz w:val="20"/>
          <w:szCs w:val="20"/>
        </w:rPr>
        <w:t xml:space="preserve"> land</w:t>
      </w:r>
      <w:r w:rsidR="000B14B6" w:rsidRPr="00F522D1">
        <w:rPr>
          <w:rFonts w:ascii="Segoe UI" w:hAnsi="Segoe UI" w:cs="Segoe UI"/>
          <w:color w:val="414143"/>
          <w:sz w:val="20"/>
          <w:szCs w:val="20"/>
        </w:rPr>
        <w:t xml:space="preserve"> uses for residential </w:t>
      </w:r>
      <w:r w:rsidR="0029041F">
        <w:rPr>
          <w:rFonts w:ascii="Segoe UI" w:hAnsi="Segoe UI" w:cs="Segoe UI"/>
          <w:color w:val="414143"/>
          <w:sz w:val="20"/>
          <w:szCs w:val="20"/>
        </w:rPr>
        <w:t xml:space="preserve">and </w:t>
      </w:r>
      <w:r w:rsidR="007B6EF1" w:rsidRPr="00F522D1">
        <w:rPr>
          <w:rFonts w:ascii="Segoe UI" w:hAnsi="Segoe UI" w:cs="Segoe UI"/>
          <w:color w:val="414143"/>
          <w:sz w:val="20"/>
          <w:szCs w:val="20"/>
        </w:rPr>
        <w:t>commercial</w:t>
      </w:r>
      <w:r w:rsidR="0029041F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3211D7" w:rsidRPr="00F522D1">
        <w:rPr>
          <w:rFonts w:ascii="Segoe UI" w:hAnsi="Segoe UI" w:cs="Segoe UI"/>
          <w:color w:val="414143"/>
          <w:sz w:val="20"/>
          <w:szCs w:val="20"/>
        </w:rPr>
        <w:t>property</w:t>
      </w:r>
      <w:r w:rsidRPr="00F522D1">
        <w:rPr>
          <w:rFonts w:ascii="Segoe UI" w:hAnsi="Segoe UI" w:cs="Segoe UI"/>
          <w:color w:val="414143"/>
          <w:sz w:val="20"/>
          <w:szCs w:val="20"/>
        </w:rPr>
        <w:t xml:space="preserve"> development</w:t>
      </w:r>
      <w:r w:rsidR="0029041F">
        <w:rPr>
          <w:rFonts w:ascii="Segoe UI" w:hAnsi="Segoe UI" w:cs="Segoe UI"/>
          <w:color w:val="414143"/>
          <w:sz w:val="20"/>
          <w:szCs w:val="20"/>
        </w:rPr>
        <w:t>s</w:t>
      </w:r>
      <w:r w:rsidRPr="00F522D1">
        <w:rPr>
          <w:rFonts w:ascii="Segoe UI" w:hAnsi="Segoe UI" w:cs="Segoe UI"/>
          <w:color w:val="414143"/>
          <w:sz w:val="20"/>
          <w:szCs w:val="20"/>
        </w:rPr>
        <w:t>.</w:t>
      </w:r>
    </w:p>
    <w:p w14:paraId="29DB82E0" w14:textId="61AC5968" w:rsidR="00C874EC" w:rsidRPr="00F522D1" w:rsidRDefault="00E94525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Assessment reviews and</w:t>
      </w:r>
      <w:r w:rsidR="0032215F" w:rsidRPr="00F522D1">
        <w:rPr>
          <w:rFonts w:ascii="Segoe UI" w:hAnsi="Segoe UI" w:cs="Segoe UI"/>
          <w:color w:val="414143"/>
          <w:sz w:val="20"/>
          <w:szCs w:val="20"/>
        </w:rPr>
        <w:t xml:space="preserve"> assessment appeals of </w:t>
      </w:r>
      <w:r w:rsidR="009D1DCC" w:rsidRPr="00F522D1">
        <w:rPr>
          <w:rFonts w:ascii="Segoe UI" w:hAnsi="Segoe UI" w:cs="Segoe UI"/>
          <w:color w:val="414143"/>
          <w:sz w:val="20"/>
          <w:szCs w:val="20"/>
        </w:rPr>
        <w:t>a single property or</w:t>
      </w:r>
      <w:r w:rsidR="007F21BE" w:rsidRPr="00F522D1">
        <w:rPr>
          <w:rFonts w:ascii="Segoe UI" w:hAnsi="Segoe UI" w:cs="Segoe UI"/>
          <w:color w:val="414143"/>
          <w:sz w:val="20"/>
          <w:szCs w:val="20"/>
        </w:rPr>
        <w:t xml:space="preserve"> portfolios. </w:t>
      </w:r>
    </w:p>
    <w:p w14:paraId="5DDDB0F5" w14:textId="601C1E1A" w:rsidR="00C874EC" w:rsidRPr="00F522D1" w:rsidRDefault="00BC73EF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Market value for expropriation negotiations and settlements.</w:t>
      </w:r>
    </w:p>
    <w:p w14:paraId="5ECDB4C9" w14:textId="54F90E13" w:rsidR="00895DC1" w:rsidRPr="00F522D1" w:rsidRDefault="00270783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 xml:space="preserve">Replacement value for </w:t>
      </w:r>
      <w:r w:rsidR="00B8788B" w:rsidRPr="00F522D1">
        <w:rPr>
          <w:rFonts w:ascii="Segoe UI" w:hAnsi="Segoe UI" w:cs="Segoe UI"/>
          <w:color w:val="414143"/>
          <w:sz w:val="20"/>
          <w:szCs w:val="20"/>
        </w:rPr>
        <w:t xml:space="preserve">real property </w:t>
      </w:r>
      <w:r w:rsidRPr="00F522D1">
        <w:rPr>
          <w:rFonts w:ascii="Segoe UI" w:hAnsi="Segoe UI" w:cs="Segoe UI"/>
          <w:color w:val="414143"/>
          <w:sz w:val="20"/>
          <w:szCs w:val="20"/>
        </w:rPr>
        <w:t>insurance</w:t>
      </w:r>
      <w:r w:rsidR="00947F87" w:rsidRPr="00F522D1">
        <w:rPr>
          <w:rFonts w:ascii="Segoe UI" w:hAnsi="Segoe UI" w:cs="Segoe UI"/>
          <w:color w:val="414143"/>
          <w:sz w:val="20"/>
          <w:szCs w:val="20"/>
        </w:rPr>
        <w:t>.</w:t>
      </w:r>
    </w:p>
    <w:p w14:paraId="5DF60886" w14:textId="5F8C5E30" w:rsidR="00895DC1" w:rsidRPr="00F522D1" w:rsidRDefault="003C7D94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Lease</w:t>
      </w:r>
      <w:r w:rsidR="003746B3" w:rsidRPr="00F522D1">
        <w:rPr>
          <w:rFonts w:ascii="Segoe UI" w:hAnsi="Segoe UI" w:cs="Segoe UI"/>
          <w:color w:val="414143"/>
          <w:sz w:val="20"/>
          <w:szCs w:val="20"/>
        </w:rPr>
        <w:t xml:space="preserve"> audits</w:t>
      </w:r>
      <w:r w:rsidRPr="00F522D1">
        <w:rPr>
          <w:rFonts w:ascii="Segoe UI" w:hAnsi="Segoe UI" w:cs="Segoe UI"/>
          <w:color w:val="414143"/>
          <w:sz w:val="20"/>
          <w:szCs w:val="20"/>
        </w:rPr>
        <w:t>,</w:t>
      </w:r>
      <w:r w:rsidR="008A194D" w:rsidRPr="00F522D1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63638A" w:rsidRPr="00F522D1">
        <w:rPr>
          <w:rFonts w:ascii="Segoe UI" w:hAnsi="Segoe UI" w:cs="Segoe UI"/>
          <w:color w:val="414143"/>
          <w:sz w:val="20"/>
          <w:szCs w:val="20"/>
        </w:rPr>
        <w:t>recharge reviews</w:t>
      </w:r>
      <w:r w:rsidR="008A194D" w:rsidRPr="00F522D1">
        <w:rPr>
          <w:rFonts w:ascii="Segoe UI" w:hAnsi="Segoe UI" w:cs="Segoe UI"/>
          <w:color w:val="414143"/>
          <w:sz w:val="20"/>
          <w:szCs w:val="20"/>
        </w:rPr>
        <w:t xml:space="preserve"> and lease arbitration support</w:t>
      </w:r>
      <w:r w:rsidR="000260B6" w:rsidRPr="00F522D1">
        <w:rPr>
          <w:rFonts w:ascii="Segoe UI" w:hAnsi="Segoe UI" w:cs="Segoe UI"/>
          <w:color w:val="414143"/>
          <w:sz w:val="20"/>
          <w:szCs w:val="20"/>
        </w:rPr>
        <w:t xml:space="preserve"> for renewals.</w:t>
      </w:r>
    </w:p>
    <w:p w14:paraId="1AF0D64C" w14:textId="3248DC42" w:rsidR="00895DC1" w:rsidRPr="00F522D1" w:rsidRDefault="002A202D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 xml:space="preserve">Expert witness before the </w:t>
      </w:r>
      <w:r w:rsidR="00B30E20" w:rsidRPr="00F522D1">
        <w:rPr>
          <w:rFonts w:ascii="Segoe UI" w:hAnsi="Segoe UI" w:cs="Segoe UI"/>
          <w:color w:val="414143"/>
          <w:sz w:val="20"/>
          <w:szCs w:val="20"/>
        </w:rPr>
        <w:t>administrative</w:t>
      </w:r>
      <w:r w:rsidRPr="00F522D1">
        <w:rPr>
          <w:rFonts w:ascii="Segoe UI" w:hAnsi="Segoe UI" w:cs="Segoe UI"/>
          <w:color w:val="414143"/>
          <w:sz w:val="20"/>
          <w:szCs w:val="20"/>
        </w:rPr>
        <w:t xml:space="preserve"> tribunals</w:t>
      </w:r>
      <w:r w:rsidR="00B30E20" w:rsidRPr="00F522D1">
        <w:rPr>
          <w:rFonts w:ascii="Segoe UI" w:hAnsi="Segoe UI" w:cs="Segoe UI"/>
          <w:color w:val="414143"/>
          <w:sz w:val="20"/>
          <w:szCs w:val="20"/>
        </w:rPr>
        <w:t xml:space="preserve"> and </w:t>
      </w:r>
      <w:r w:rsidR="00BB669F" w:rsidRPr="00F522D1">
        <w:rPr>
          <w:rFonts w:ascii="Segoe UI" w:hAnsi="Segoe UI" w:cs="Segoe UI"/>
          <w:color w:val="414143"/>
          <w:sz w:val="20"/>
          <w:szCs w:val="20"/>
        </w:rPr>
        <w:t xml:space="preserve">Superior Court </w:t>
      </w:r>
      <w:r w:rsidR="00A00CB0" w:rsidRPr="00F522D1">
        <w:rPr>
          <w:rFonts w:ascii="Segoe UI" w:hAnsi="Segoe UI" w:cs="Segoe UI"/>
          <w:color w:val="414143"/>
          <w:sz w:val="20"/>
          <w:szCs w:val="20"/>
        </w:rPr>
        <w:t>in</w:t>
      </w:r>
      <w:r w:rsidR="00BB669F" w:rsidRPr="00F522D1">
        <w:rPr>
          <w:rFonts w:ascii="Segoe UI" w:hAnsi="Segoe UI" w:cs="Segoe UI"/>
          <w:color w:val="414143"/>
          <w:sz w:val="20"/>
          <w:szCs w:val="20"/>
        </w:rPr>
        <w:t xml:space="preserve"> Québec</w:t>
      </w:r>
      <w:r w:rsidR="00A00CB0" w:rsidRPr="00F522D1">
        <w:rPr>
          <w:rFonts w:ascii="Segoe UI" w:hAnsi="Segoe UI" w:cs="Segoe UI"/>
          <w:color w:val="414143"/>
          <w:sz w:val="20"/>
          <w:szCs w:val="20"/>
        </w:rPr>
        <w:t xml:space="preserve">, Court of </w:t>
      </w:r>
      <w:r w:rsidR="00FE11AD" w:rsidRPr="00F522D1">
        <w:rPr>
          <w:rFonts w:ascii="Segoe UI" w:hAnsi="Segoe UI" w:cs="Segoe UI"/>
          <w:color w:val="414143"/>
          <w:sz w:val="20"/>
          <w:szCs w:val="20"/>
        </w:rPr>
        <w:t>King’s</w:t>
      </w:r>
      <w:r w:rsidR="00A00CB0" w:rsidRPr="00F522D1">
        <w:rPr>
          <w:rFonts w:ascii="Segoe UI" w:hAnsi="Segoe UI" w:cs="Segoe UI"/>
          <w:color w:val="414143"/>
          <w:sz w:val="20"/>
          <w:szCs w:val="20"/>
        </w:rPr>
        <w:t xml:space="preserve"> Bench</w:t>
      </w:r>
      <w:r w:rsidR="007332B0" w:rsidRPr="00F522D1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 xml:space="preserve">in </w:t>
      </w:r>
      <w:r w:rsidR="007332B0" w:rsidRPr="00F522D1">
        <w:rPr>
          <w:rFonts w:ascii="Segoe UI" w:hAnsi="Segoe UI" w:cs="Segoe UI"/>
          <w:color w:val="414143"/>
          <w:sz w:val="20"/>
          <w:szCs w:val="20"/>
        </w:rPr>
        <w:t xml:space="preserve">Alberta, </w:t>
      </w:r>
      <w:r w:rsidR="008B5D85" w:rsidRPr="00F522D1">
        <w:rPr>
          <w:rFonts w:ascii="Segoe UI" w:hAnsi="Segoe UI" w:cs="Segoe UI"/>
          <w:color w:val="414143"/>
          <w:sz w:val="20"/>
          <w:szCs w:val="20"/>
        </w:rPr>
        <w:t>Payments in Lieu of Taxes Dispute Advisory Panel (PILT DAP)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 xml:space="preserve"> </w:t>
      </w:r>
      <w:r w:rsidR="00A124AA" w:rsidRPr="00F522D1">
        <w:rPr>
          <w:rFonts w:ascii="Segoe UI" w:hAnsi="Segoe UI" w:cs="Segoe UI"/>
          <w:color w:val="414143"/>
          <w:sz w:val="20"/>
          <w:szCs w:val="20"/>
        </w:rPr>
        <w:t xml:space="preserve">in 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>Ontario</w:t>
      </w:r>
      <w:r w:rsidR="004E2E7F" w:rsidRPr="00F522D1">
        <w:rPr>
          <w:rFonts w:ascii="Segoe UI" w:hAnsi="Segoe UI" w:cs="Segoe UI"/>
          <w:color w:val="414143"/>
          <w:sz w:val="20"/>
          <w:szCs w:val="20"/>
        </w:rPr>
        <w:t xml:space="preserve">, 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 xml:space="preserve">and </w:t>
      </w:r>
      <w:r w:rsidR="004E2E7F" w:rsidRPr="00F522D1">
        <w:rPr>
          <w:rFonts w:ascii="Segoe UI" w:hAnsi="Segoe UI" w:cs="Segoe UI"/>
          <w:color w:val="414143"/>
          <w:sz w:val="20"/>
          <w:szCs w:val="20"/>
        </w:rPr>
        <w:t>multiple lease arbitrations in Qu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>é</w:t>
      </w:r>
      <w:r w:rsidR="004E2E7F" w:rsidRPr="00F522D1">
        <w:rPr>
          <w:rFonts w:ascii="Segoe UI" w:hAnsi="Segoe UI" w:cs="Segoe UI"/>
          <w:color w:val="414143"/>
          <w:sz w:val="20"/>
          <w:szCs w:val="20"/>
        </w:rPr>
        <w:t xml:space="preserve">bec and </w:t>
      </w:r>
      <w:r w:rsidR="00A652AA" w:rsidRPr="00F522D1">
        <w:rPr>
          <w:rFonts w:ascii="Segoe UI" w:hAnsi="Segoe UI" w:cs="Segoe UI"/>
          <w:color w:val="414143"/>
          <w:sz w:val="20"/>
          <w:szCs w:val="20"/>
        </w:rPr>
        <w:t>New Brunswick.</w:t>
      </w:r>
    </w:p>
    <w:p w14:paraId="366D5208" w14:textId="27DEBFF6" w:rsidR="00895DC1" w:rsidRPr="00F522D1" w:rsidRDefault="00B62562" w:rsidP="00A652AA">
      <w:pPr>
        <w:pStyle w:val="ListParagraph"/>
        <w:numPr>
          <w:ilvl w:val="0"/>
          <w:numId w:val="4"/>
        </w:numPr>
        <w:spacing w:before="240" w:line="276" w:lineRule="auto"/>
        <w:jc w:val="both"/>
        <w:rPr>
          <w:rFonts w:ascii="Segoe UI" w:hAnsi="Segoe UI" w:cs="Segoe UI"/>
          <w:color w:val="414143"/>
          <w:sz w:val="20"/>
          <w:szCs w:val="20"/>
        </w:rPr>
      </w:pPr>
      <w:r w:rsidRPr="00F522D1">
        <w:rPr>
          <w:rFonts w:ascii="Segoe UI" w:hAnsi="Segoe UI" w:cs="Segoe UI"/>
          <w:color w:val="414143"/>
          <w:sz w:val="20"/>
          <w:szCs w:val="20"/>
        </w:rPr>
        <w:t>Review assignments for</w:t>
      </w:r>
      <w:r w:rsidR="00EB73B6">
        <w:rPr>
          <w:rFonts w:ascii="Segoe UI" w:hAnsi="Segoe UI" w:cs="Segoe UI"/>
          <w:color w:val="414143"/>
          <w:sz w:val="20"/>
          <w:szCs w:val="20"/>
        </w:rPr>
        <w:t xml:space="preserve"> compliance and</w:t>
      </w:r>
      <w:r w:rsidRPr="00F522D1">
        <w:rPr>
          <w:rFonts w:ascii="Segoe UI" w:hAnsi="Segoe UI" w:cs="Segoe UI"/>
          <w:color w:val="414143"/>
          <w:sz w:val="20"/>
          <w:szCs w:val="20"/>
        </w:rPr>
        <w:t xml:space="preserve"> litigation support.</w:t>
      </w:r>
    </w:p>
    <w:sectPr w:rsidR="00895DC1" w:rsidRPr="00F522D1" w:rsidSect="00EF3B06">
      <w:headerReference w:type="even" r:id="rId9"/>
      <w:headerReference w:type="default" r:id="rId10"/>
      <w:headerReference w:type="first" r:id="rId11"/>
      <w:pgSz w:w="12240" w:h="15840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236B" w14:textId="77777777" w:rsidR="00927C11" w:rsidRDefault="00927C11" w:rsidP="00725740">
      <w:pPr>
        <w:spacing w:after="0" w:line="240" w:lineRule="auto"/>
      </w:pPr>
      <w:r>
        <w:separator/>
      </w:r>
    </w:p>
  </w:endnote>
  <w:endnote w:type="continuationSeparator" w:id="0">
    <w:p w14:paraId="512720D5" w14:textId="77777777" w:rsidR="00927C11" w:rsidRDefault="00927C11" w:rsidP="0072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445C" w14:textId="77777777" w:rsidR="00927C11" w:rsidRDefault="00927C11" w:rsidP="00725740">
      <w:pPr>
        <w:spacing w:after="0" w:line="240" w:lineRule="auto"/>
      </w:pPr>
      <w:r>
        <w:separator/>
      </w:r>
    </w:p>
  </w:footnote>
  <w:footnote w:type="continuationSeparator" w:id="0">
    <w:p w14:paraId="26404BB3" w14:textId="77777777" w:rsidR="00927C11" w:rsidRDefault="00927C11" w:rsidP="0072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3123" w14:textId="7C7A1227" w:rsidR="00725740" w:rsidRDefault="00927C11">
    <w:pPr>
      <w:pStyle w:val="Header"/>
    </w:pPr>
    <w:r>
      <w:rPr>
        <w:noProof/>
      </w:rPr>
      <w:pict w14:anchorId="72175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83344" o:spid="_x0000_s1027" type="#_x0000_t75" alt="" style="position:absolute;margin-left:0;margin-top:0;width:470.15pt;height:28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C4B81" w14:textId="05343320" w:rsidR="00725740" w:rsidRDefault="00927C11">
    <w:pPr>
      <w:pStyle w:val="Header"/>
    </w:pPr>
    <w:r>
      <w:rPr>
        <w:noProof/>
      </w:rPr>
      <w:pict w14:anchorId="3E9A0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83345" o:spid="_x0000_s1026" type="#_x0000_t75" alt="" style="position:absolute;margin-left:0;margin-top:0;width:470.15pt;height:28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432B" w14:textId="20069AD3" w:rsidR="00725740" w:rsidRDefault="00927C11">
    <w:pPr>
      <w:pStyle w:val="Header"/>
    </w:pPr>
    <w:r>
      <w:rPr>
        <w:noProof/>
      </w:rPr>
      <w:pict w14:anchorId="386E5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83343" o:spid="_x0000_s1025" type="#_x0000_t75" alt="" style="position:absolute;margin-left:0;margin-top:0;width:470.15pt;height:28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A4EFC"/>
    <w:multiLevelType w:val="hybridMultilevel"/>
    <w:tmpl w:val="89E24B54"/>
    <w:lvl w:ilvl="0" w:tplc="3814E9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D75BD" w:themeColor="accen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46E34"/>
    <w:multiLevelType w:val="hybridMultilevel"/>
    <w:tmpl w:val="176E3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72338"/>
    <w:multiLevelType w:val="hybridMultilevel"/>
    <w:tmpl w:val="CF34B534"/>
    <w:lvl w:ilvl="0" w:tplc="3814E9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D75B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12AA7"/>
    <w:multiLevelType w:val="hybridMultilevel"/>
    <w:tmpl w:val="0C625626"/>
    <w:lvl w:ilvl="0" w:tplc="3814E9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D75BD" w:themeColor="accen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250057">
    <w:abstractNumId w:val="0"/>
  </w:num>
  <w:num w:numId="2" w16cid:durableId="1108889627">
    <w:abstractNumId w:val="1"/>
  </w:num>
  <w:num w:numId="3" w16cid:durableId="1676805108">
    <w:abstractNumId w:val="2"/>
  </w:num>
  <w:num w:numId="4" w16cid:durableId="29656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40"/>
    <w:rsid w:val="000260B6"/>
    <w:rsid w:val="00045B45"/>
    <w:rsid w:val="00050496"/>
    <w:rsid w:val="000806AB"/>
    <w:rsid w:val="000A35B9"/>
    <w:rsid w:val="000B14B6"/>
    <w:rsid w:val="000B2F0D"/>
    <w:rsid w:val="000C370F"/>
    <w:rsid w:val="000D0EA6"/>
    <w:rsid w:val="000D67DA"/>
    <w:rsid w:val="000E75CF"/>
    <w:rsid w:val="000F184C"/>
    <w:rsid w:val="00110523"/>
    <w:rsid w:val="00133FF1"/>
    <w:rsid w:val="001432FD"/>
    <w:rsid w:val="00185308"/>
    <w:rsid w:val="001962A3"/>
    <w:rsid w:val="001B6050"/>
    <w:rsid w:val="001E2C43"/>
    <w:rsid w:val="001F3FE6"/>
    <w:rsid w:val="002162DB"/>
    <w:rsid w:val="00242763"/>
    <w:rsid w:val="002655F4"/>
    <w:rsid w:val="00270783"/>
    <w:rsid w:val="00276B01"/>
    <w:rsid w:val="00276EB5"/>
    <w:rsid w:val="0029041F"/>
    <w:rsid w:val="002A202D"/>
    <w:rsid w:val="002D0333"/>
    <w:rsid w:val="002F0A0F"/>
    <w:rsid w:val="002F7058"/>
    <w:rsid w:val="003211D7"/>
    <w:rsid w:val="0032215F"/>
    <w:rsid w:val="00345A46"/>
    <w:rsid w:val="003504D6"/>
    <w:rsid w:val="00367A12"/>
    <w:rsid w:val="003746B3"/>
    <w:rsid w:val="0037529F"/>
    <w:rsid w:val="003A4A31"/>
    <w:rsid w:val="003C7D94"/>
    <w:rsid w:val="003E2423"/>
    <w:rsid w:val="003F52ED"/>
    <w:rsid w:val="00404B28"/>
    <w:rsid w:val="00414B94"/>
    <w:rsid w:val="00424C05"/>
    <w:rsid w:val="0045751A"/>
    <w:rsid w:val="00464D9A"/>
    <w:rsid w:val="004A07F0"/>
    <w:rsid w:val="004B1D01"/>
    <w:rsid w:val="004C1800"/>
    <w:rsid w:val="004C45B8"/>
    <w:rsid w:val="004D5E13"/>
    <w:rsid w:val="004E2E7F"/>
    <w:rsid w:val="004E59DA"/>
    <w:rsid w:val="00527EDA"/>
    <w:rsid w:val="00544442"/>
    <w:rsid w:val="00544D91"/>
    <w:rsid w:val="00565A51"/>
    <w:rsid w:val="00566E61"/>
    <w:rsid w:val="005717D4"/>
    <w:rsid w:val="00575E28"/>
    <w:rsid w:val="005A5121"/>
    <w:rsid w:val="005A7936"/>
    <w:rsid w:val="005B34ED"/>
    <w:rsid w:val="005B6961"/>
    <w:rsid w:val="005B7A68"/>
    <w:rsid w:val="005E18B7"/>
    <w:rsid w:val="005F2F77"/>
    <w:rsid w:val="0062335B"/>
    <w:rsid w:val="00626DAA"/>
    <w:rsid w:val="00630821"/>
    <w:rsid w:val="0063638A"/>
    <w:rsid w:val="00640934"/>
    <w:rsid w:val="00647A97"/>
    <w:rsid w:val="006611D1"/>
    <w:rsid w:val="0068557B"/>
    <w:rsid w:val="006949B7"/>
    <w:rsid w:val="006D37C4"/>
    <w:rsid w:val="006E0524"/>
    <w:rsid w:val="006E5CE9"/>
    <w:rsid w:val="00702DA4"/>
    <w:rsid w:val="007043D5"/>
    <w:rsid w:val="00704E85"/>
    <w:rsid w:val="007060AA"/>
    <w:rsid w:val="00725740"/>
    <w:rsid w:val="007332B0"/>
    <w:rsid w:val="00755CD3"/>
    <w:rsid w:val="00756E50"/>
    <w:rsid w:val="00757A42"/>
    <w:rsid w:val="00774CE7"/>
    <w:rsid w:val="007B6EF1"/>
    <w:rsid w:val="007C7893"/>
    <w:rsid w:val="007C7CF9"/>
    <w:rsid w:val="007E6CEC"/>
    <w:rsid w:val="007F0F4A"/>
    <w:rsid w:val="007F21BE"/>
    <w:rsid w:val="00810537"/>
    <w:rsid w:val="00811E5E"/>
    <w:rsid w:val="008209CB"/>
    <w:rsid w:val="0082129F"/>
    <w:rsid w:val="00881BCA"/>
    <w:rsid w:val="00895DC1"/>
    <w:rsid w:val="008A194D"/>
    <w:rsid w:val="008B2A05"/>
    <w:rsid w:val="008B4D7B"/>
    <w:rsid w:val="008B5D85"/>
    <w:rsid w:val="008C20E4"/>
    <w:rsid w:val="008F599D"/>
    <w:rsid w:val="00914C6C"/>
    <w:rsid w:val="00921FB6"/>
    <w:rsid w:val="00922CA9"/>
    <w:rsid w:val="00927C11"/>
    <w:rsid w:val="00940461"/>
    <w:rsid w:val="009443E2"/>
    <w:rsid w:val="00947F87"/>
    <w:rsid w:val="0095260A"/>
    <w:rsid w:val="0096035B"/>
    <w:rsid w:val="00973DFD"/>
    <w:rsid w:val="00977DDF"/>
    <w:rsid w:val="00990475"/>
    <w:rsid w:val="009B28F3"/>
    <w:rsid w:val="009B51AB"/>
    <w:rsid w:val="009D1DCC"/>
    <w:rsid w:val="009D5891"/>
    <w:rsid w:val="00A00CB0"/>
    <w:rsid w:val="00A023D3"/>
    <w:rsid w:val="00A11DF4"/>
    <w:rsid w:val="00A124AA"/>
    <w:rsid w:val="00A454E9"/>
    <w:rsid w:val="00A652AA"/>
    <w:rsid w:val="00AB4A71"/>
    <w:rsid w:val="00AE60A9"/>
    <w:rsid w:val="00AE7560"/>
    <w:rsid w:val="00AF4F52"/>
    <w:rsid w:val="00B01003"/>
    <w:rsid w:val="00B30E20"/>
    <w:rsid w:val="00B35626"/>
    <w:rsid w:val="00B54559"/>
    <w:rsid w:val="00B62562"/>
    <w:rsid w:val="00B733DE"/>
    <w:rsid w:val="00B81008"/>
    <w:rsid w:val="00B85DB1"/>
    <w:rsid w:val="00B8788B"/>
    <w:rsid w:val="00B93268"/>
    <w:rsid w:val="00B94DE6"/>
    <w:rsid w:val="00BB669F"/>
    <w:rsid w:val="00BC73EF"/>
    <w:rsid w:val="00C15FC0"/>
    <w:rsid w:val="00C5442C"/>
    <w:rsid w:val="00C74B93"/>
    <w:rsid w:val="00C75056"/>
    <w:rsid w:val="00C867D7"/>
    <w:rsid w:val="00C874EC"/>
    <w:rsid w:val="00CD71D6"/>
    <w:rsid w:val="00CE0B9E"/>
    <w:rsid w:val="00CF133E"/>
    <w:rsid w:val="00D17310"/>
    <w:rsid w:val="00D26030"/>
    <w:rsid w:val="00D37D6E"/>
    <w:rsid w:val="00D5181A"/>
    <w:rsid w:val="00D7213F"/>
    <w:rsid w:val="00D73BA2"/>
    <w:rsid w:val="00DA794D"/>
    <w:rsid w:val="00DB3234"/>
    <w:rsid w:val="00DC443F"/>
    <w:rsid w:val="00DC7E32"/>
    <w:rsid w:val="00DF141E"/>
    <w:rsid w:val="00E00494"/>
    <w:rsid w:val="00E047AB"/>
    <w:rsid w:val="00E219CA"/>
    <w:rsid w:val="00E51F69"/>
    <w:rsid w:val="00E577C5"/>
    <w:rsid w:val="00E60FBC"/>
    <w:rsid w:val="00E63E52"/>
    <w:rsid w:val="00E7189B"/>
    <w:rsid w:val="00E8629B"/>
    <w:rsid w:val="00E94525"/>
    <w:rsid w:val="00E964E2"/>
    <w:rsid w:val="00EB0E23"/>
    <w:rsid w:val="00EB387B"/>
    <w:rsid w:val="00EB73B6"/>
    <w:rsid w:val="00EC79F8"/>
    <w:rsid w:val="00ED4A3D"/>
    <w:rsid w:val="00EF3B06"/>
    <w:rsid w:val="00F12E18"/>
    <w:rsid w:val="00F12F5D"/>
    <w:rsid w:val="00F26098"/>
    <w:rsid w:val="00F302E1"/>
    <w:rsid w:val="00F522D1"/>
    <w:rsid w:val="00F61A13"/>
    <w:rsid w:val="00F703A5"/>
    <w:rsid w:val="00F812B7"/>
    <w:rsid w:val="00FC5AF7"/>
    <w:rsid w:val="00FD5910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65662"/>
  <w15:chartTrackingRefBased/>
  <w15:docId w15:val="{D181549B-23C9-4CFC-AB20-848DB89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D1"/>
  </w:style>
  <w:style w:type="paragraph" w:styleId="Heading1">
    <w:name w:val="heading 1"/>
    <w:basedOn w:val="Normal"/>
    <w:next w:val="Normal"/>
    <w:link w:val="Heading1Char"/>
    <w:uiPriority w:val="9"/>
    <w:qFormat/>
    <w:rsid w:val="006611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5578D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1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A6E8C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1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7535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1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C4A5D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1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A3838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1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E3A5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1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C4A5D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1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A3838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7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740"/>
  </w:style>
  <w:style w:type="paragraph" w:styleId="Footer">
    <w:name w:val="footer"/>
    <w:basedOn w:val="Normal"/>
    <w:link w:val="FooterChar"/>
    <w:uiPriority w:val="99"/>
    <w:unhideWhenUsed/>
    <w:rsid w:val="007257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740"/>
  </w:style>
  <w:style w:type="character" w:customStyle="1" w:styleId="Heading1Char">
    <w:name w:val="Heading 1 Char"/>
    <w:basedOn w:val="DefaultParagraphFont"/>
    <w:link w:val="Heading1"/>
    <w:uiPriority w:val="9"/>
    <w:rsid w:val="006611D1"/>
    <w:rPr>
      <w:rFonts w:asciiTheme="majorHAnsi" w:eastAsiaTheme="majorEastAsia" w:hAnsiTheme="majorHAnsi" w:cstheme="majorBidi"/>
      <w:color w:val="15578D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1D1"/>
    <w:rPr>
      <w:rFonts w:asciiTheme="majorHAnsi" w:eastAsiaTheme="majorEastAsia" w:hAnsiTheme="majorHAnsi" w:cstheme="majorBidi"/>
      <w:color w:val="5A6E8C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1D1"/>
    <w:rPr>
      <w:rFonts w:asciiTheme="majorHAnsi" w:eastAsiaTheme="majorEastAsia" w:hAnsiTheme="majorHAnsi" w:cstheme="majorBidi"/>
      <w:color w:val="57535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1D1"/>
    <w:rPr>
      <w:rFonts w:asciiTheme="majorHAnsi" w:eastAsiaTheme="majorEastAsia" w:hAnsiTheme="majorHAnsi" w:cstheme="majorBidi"/>
      <w:i/>
      <w:iCs/>
      <w:color w:val="000000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1D1"/>
    <w:rPr>
      <w:rFonts w:asciiTheme="majorHAnsi" w:eastAsiaTheme="majorEastAsia" w:hAnsiTheme="majorHAnsi" w:cstheme="majorBidi"/>
      <w:i/>
      <w:iCs/>
      <w:color w:val="3C4A5D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1D1"/>
    <w:rPr>
      <w:rFonts w:asciiTheme="majorHAnsi" w:eastAsiaTheme="majorEastAsia" w:hAnsiTheme="majorHAnsi" w:cstheme="majorBidi"/>
      <w:i/>
      <w:iCs/>
      <w:color w:val="3A3838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1D1"/>
    <w:rPr>
      <w:rFonts w:asciiTheme="majorHAnsi" w:eastAsiaTheme="majorEastAsia" w:hAnsiTheme="majorHAnsi" w:cstheme="majorBidi"/>
      <w:color w:val="0E3A5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1D1"/>
    <w:rPr>
      <w:rFonts w:asciiTheme="majorHAnsi" w:eastAsiaTheme="majorEastAsia" w:hAnsiTheme="majorHAnsi" w:cstheme="majorBidi"/>
      <w:color w:val="3C4A5D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1D1"/>
    <w:rPr>
      <w:rFonts w:asciiTheme="majorHAnsi" w:eastAsiaTheme="majorEastAsia" w:hAnsiTheme="majorHAnsi" w:cstheme="majorBidi"/>
      <w:color w:val="3A3838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11D1"/>
    <w:pPr>
      <w:spacing w:line="240" w:lineRule="auto"/>
    </w:pPr>
    <w:rPr>
      <w:b/>
      <w:bCs/>
      <w:smallCaps/>
      <w:color w:val="1D75BD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611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578D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11D1"/>
    <w:rPr>
      <w:rFonts w:asciiTheme="majorHAnsi" w:eastAsiaTheme="majorEastAsia" w:hAnsiTheme="majorHAnsi" w:cstheme="majorBidi"/>
      <w:color w:val="15578D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1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611D1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6611D1"/>
    <w:rPr>
      <w:b/>
      <w:bCs/>
    </w:rPr>
  </w:style>
  <w:style w:type="character" w:styleId="Emphasis">
    <w:name w:val="Emphasis"/>
    <w:basedOn w:val="DefaultParagraphFont"/>
    <w:uiPriority w:val="20"/>
    <w:qFormat/>
    <w:rsid w:val="006611D1"/>
    <w:rPr>
      <w:i/>
      <w:iCs/>
    </w:rPr>
  </w:style>
  <w:style w:type="paragraph" w:styleId="NoSpacing">
    <w:name w:val="No Spacing"/>
    <w:uiPriority w:val="1"/>
    <w:qFormat/>
    <w:rsid w:val="006611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11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11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1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D75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1D1"/>
    <w:rPr>
      <w:rFonts w:asciiTheme="majorHAnsi" w:eastAsiaTheme="majorEastAsia" w:hAnsiTheme="majorHAnsi" w:cstheme="majorBidi"/>
      <w:color w:val="1D75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11D1"/>
    <w:rPr>
      <w:i/>
      <w:iCs/>
      <w:color w:val="6F6F73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11D1"/>
    <w:rPr>
      <w:b w:val="0"/>
      <w:bCs w:val="0"/>
      <w:i/>
      <w:iCs/>
      <w:color w:val="1D75BD" w:themeColor="accent1"/>
    </w:rPr>
  </w:style>
  <w:style w:type="character" w:styleId="SubtleReference">
    <w:name w:val="Subtle Reference"/>
    <w:basedOn w:val="DefaultParagraphFont"/>
    <w:uiPriority w:val="31"/>
    <w:qFormat/>
    <w:rsid w:val="006611D1"/>
    <w:rPr>
      <w:smallCaps/>
      <w:color w:val="6F6F73" w:themeColor="text1" w:themeTint="BF"/>
      <w:u w:val="single" w:color="9E9EA1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11D1"/>
    <w:rPr>
      <w:b/>
      <w:bCs/>
      <w:smallCaps/>
      <w:color w:val="1D75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11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11D1"/>
    <w:pPr>
      <w:outlineLvl w:val="9"/>
    </w:pPr>
  </w:style>
  <w:style w:type="paragraph" w:styleId="ListParagraph">
    <w:name w:val="List Paragraph"/>
    <w:basedOn w:val="Normal"/>
    <w:uiPriority w:val="34"/>
    <w:qFormat/>
    <w:rsid w:val="00DF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414143"/>
      </a:dk1>
      <a:lt1>
        <a:sysClr val="window" lastClr="FFFFFF"/>
      </a:lt1>
      <a:dk2>
        <a:srgbClr val="44546A"/>
      </a:dk2>
      <a:lt2>
        <a:srgbClr val="E7E6E6"/>
      </a:lt2>
      <a:accent1>
        <a:srgbClr val="1D75BD"/>
      </a:accent1>
      <a:accent2>
        <a:srgbClr val="8496B0"/>
      </a:accent2>
      <a:accent3>
        <a:srgbClr val="AEABAB"/>
      </a:accent3>
      <a:accent4>
        <a:srgbClr val="8EAADB"/>
      </a:accent4>
      <a:accent5>
        <a:srgbClr val="000000"/>
      </a:accent5>
      <a:accent6>
        <a:srgbClr val="757070"/>
      </a:accent6>
      <a:hlink>
        <a:srgbClr val="1D75BD"/>
      </a:hlink>
      <a:folHlink>
        <a:srgbClr val="1D75B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07DE-E941-417A-9EA2-565C1B8F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Paquet</dc:creator>
  <cp:keywords/>
  <dc:description/>
  <cp:lastModifiedBy>Dominique Paquet</cp:lastModifiedBy>
  <cp:revision>3</cp:revision>
  <dcterms:created xsi:type="dcterms:W3CDTF">2025-05-08T18:18:00Z</dcterms:created>
  <dcterms:modified xsi:type="dcterms:W3CDTF">2025-05-20T17:29:00Z</dcterms:modified>
</cp:coreProperties>
</file>